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990210" w14:textId="0AAF1B87" w:rsidR="00255608" w:rsidRPr="00C933C5" w:rsidRDefault="00255608" w:rsidP="00C933C5">
      <w:pPr>
        <w:ind w:left="142"/>
        <w:jc w:val="center"/>
        <w:rPr>
          <w:rFonts w:ascii="Cambria" w:hAnsi="Cambria" w:cs="Verdana"/>
          <w:bCs/>
          <w:iCs/>
          <w:sz w:val="22"/>
          <w:szCs w:val="22"/>
          <w:lang w:val="el-GR"/>
        </w:rPr>
      </w:pPr>
      <w:r w:rsidRPr="002259E7">
        <w:rPr>
          <w:rFonts w:ascii="Cambria" w:hAnsi="Cambria" w:cs="Verdana"/>
          <w:b/>
          <w:bCs/>
          <w:iCs/>
          <w:sz w:val="28"/>
          <w:szCs w:val="28"/>
          <w:lang w:val="en-US"/>
        </w:rPr>
        <w:t>ΠΑΡΑΡΤΗΜΑ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497"/>
        <w:gridCol w:w="1128"/>
        <w:gridCol w:w="1837"/>
        <w:gridCol w:w="1827"/>
      </w:tblGrid>
      <w:tr w:rsidR="00255608" w:rsidRPr="00C933C5" w14:paraId="459DF158" w14:textId="77777777" w:rsidTr="00BA550C">
        <w:trPr>
          <w:trHeight w:val="397"/>
          <w:jc w:val="center"/>
        </w:trPr>
        <w:tc>
          <w:tcPr>
            <w:tcW w:w="9046" w:type="dxa"/>
            <w:gridSpan w:val="5"/>
            <w:shd w:val="pct5" w:color="auto" w:fill="auto"/>
            <w:vAlign w:val="center"/>
          </w:tcPr>
          <w:p w14:paraId="6CF672C5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933C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ΠΙΝΑΚΑΣ ΟΙΚΟΝΟΜΙΚΗΣ ΠΡΟΣΦΟΡΑΣ</w:t>
            </w:r>
          </w:p>
        </w:tc>
      </w:tr>
      <w:tr w:rsidR="00255608" w:rsidRPr="00D51622" w14:paraId="363666B5" w14:textId="77777777" w:rsidTr="00BA550C">
        <w:trPr>
          <w:trHeight w:val="862"/>
          <w:jc w:val="center"/>
        </w:trPr>
        <w:tc>
          <w:tcPr>
            <w:tcW w:w="9046" w:type="dxa"/>
            <w:gridSpan w:val="5"/>
            <w:shd w:val="pct5" w:color="auto" w:fill="auto"/>
          </w:tcPr>
          <w:p w14:paraId="57408785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C933C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>ΠΡΟΣ: ΚΕΝΤΡΟ ΑΝΑΝΕΩΣΙΜΩΝ ΠΗΓΩΝ ΚΑΙ ΕΞΟΙΚΟΝΟΜΗΣΗΣ ΕΝΕΡΓΕΙΑΣ</w:t>
            </w:r>
          </w:p>
          <w:p w14:paraId="619BEF40" w14:textId="53C523A6" w:rsidR="00255608" w:rsidRPr="00C933C5" w:rsidRDefault="00255608" w:rsidP="00C933C5">
            <w:pPr>
              <w:ind w:left="142"/>
              <w:jc w:val="both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  <w:r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Υποβάλουμε την παρούσα οικονομική προσφορά και δεσμευόμαστε ότι θα εκτελέσουμε την υπηρεσία σύμφωνα με τους όρους και τις προδιαγραφές που περιγράφο</w:t>
            </w:r>
            <w:r w:rsidR="00C933C5"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νται στη με </w:t>
            </w:r>
            <w:proofErr w:type="spellStart"/>
            <w:r w:rsidR="00C933C5"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αρ</w:t>
            </w:r>
            <w:proofErr w:type="spellEnd"/>
            <w:r w:rsidR="00C933C5"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. </w:t>
            </w:r>
            <w:proofErr w:type="spellStart"/>
            <w:r w:rsidR="00C933C5"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πρωτ</w:t>
            </w:r>
            <w:proofErr w:type="spellEnd"/>
            <w:r w:rsidR="00C933C5"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.</w:t>
            </w:r>
            <w:r w:rsidR="00D51622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r w:rsidR="00204889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435</w:t>
            </w:r>
            <w:r w:rsidR="00E12A71" w:rsidRPr="005E7C41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/</w:t>
            </w:r>
            <w:r w:rsidR="00D51622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30</w:t>
            </w:r>
            <w:r w:rsidR="00C933C5" w:rsidRPr="005E7C41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.</w:t>
            </w:r>
            <w:r w:rsidR="00371148" w:rsidRPr="005E7C41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04</w:t>
            </w:r>
            <w:r w:rsidR="00C933C5" w:rsidRPr="005E7C41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.202</w:t>
            </w:r>
            <w:r w:rsidR="00371148" w:rsidRPr="005E7C41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4</w:t>
            </w:r>
            <w:r w:rsidR="00C933C5"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r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Πρόσκληση.</w:t>
            </w:r>
          </w:p>
        </w:tc>
      </w:tr>
      <w:tr w:rsidR="00AB2ECA" w:rsidRPr="00C933C5" w14:paraId="2432491A" w14:textId="77777777" w:rsidTr="006B1B6A">
        <w:trPr>
          <w:trHeight w:val="545"/>
          <w:jc w:val="center"/>
        </w:trPr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7D6DAF" w14:textId="77777777" w:rsidR="002F191A" w:rsidRPr="00C933C5" w:rsidRDefault="002F191A" w:rsidP="00AB2ECA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</w:p>
          <w:p w14:paraId="33DC443B" w14:textId="31ACD53E" w:rsidR="00AB2ECA" w:rsidRPr="00C933C5" w:rsidRDefault="00AB2ECA" w:rsidP="00AB2ECA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C933C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>ΣΤΟΙΧΕΙΑ ΠΡΟΣΦΕΡΟΥΣΑΣ/ΟΝΤΟΣ</w:t>
            </w:r>
          </w:p>
        </w:tc>
      </w:tr>
      <w:tr w:rsidR="00AB2ECA" w:rsidRPr="00C933C5" w14:paraId="52E419BA" w14:textId="77777777" w:rsidTr="002D51E0">
        <w:trPr>
          <w:jc w:val="center"/>
        </w:trPr>
        <w:tc>
          <w:tcPr>
            <w:tcW w:w="4254" w:type="dxa"/>
            <w:gridSpan w:val="2"/>
            <w:shd w:val="clear" w:color="auto" w:fill="auto"/>
          </w:tcPr>
          <w:p w14:paraId="382B30BB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ΟΝΟΜΑΤΕΠΩΝΥΜΟ/ΕΠΩΝΥΜΙΑ:</w:t>
            </w:r>
          </w:p>
        </w:tc>
        <w:tc>
          <w:tcPr>
            <w:tcW w:w="4792" w:type="dxa"/>
            <w:gridSpan w:val="3"/>
            <w:shd w:val="clear" w:color="auto" w:fill="auto"/>
            <w:vAlign w:val="center"/>
          </w:tcPr>
          <w:p w14:paraId="6BF937F1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AB2ECA" w:rsidRPr="00C933C5" w14:paraId="45EB9201" w14:textId="77777777" w:rsidTr="002D51E0">
        <w:trPr>
          <w:jc w:val="center"/>
        </w:trPr>
        <w:tc>
          <w:tcPr>
            <w:tcW w:w="4254" w:type="dxa"/>
            <w:gridSpan w:val="2"/>
            <w:shd w:val="clear" w:color="auto" w:fill="auto"/>
          </w:tcPr>
          <w:p w14:paraId="13BBD41B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ΕΔΡΑ:</w:t>
            </w:r>
          </w:p>
        </w:tc>
        <w:tc>
          <w:tcPr>
            <w:tcW w:w="4792" w:type="dxa"/>
            <w:gridSpan w:val="3"/>
            <w:shd w:val="clear" w:color="auto" w:fill="auto"/>
            <w:vAlign w:val="center"/>
          </w:tcPr>
          <w:p w14:paraId="27C4D9FD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</w:p>
        </w:tc>
      </w:tr>
      <w:tr w:rsidR="00AB2ECA" w:rsidRPr="00C933C5" w14:paraId="0089052E" w14:textId="77777777" w:rsidTr="002D51E0">
        <w:trPr>
          <w:jc w:val="center"/>
        </w:trPr>
        <w:tc>
          <w:tcPr>
            <w:tcW w:w="4254" w:type="dxa"/>
            <w:gridSpan w:val="2"/>
            <w:shd w:val="clear" w:color="auto" w:fill="auto"/>
          </w:tcPr>
          <w:p w14:paraId="794D1B0F" w14:textId="61AE9575" w:rsidR="00D51227" w:rsidRPr="00C933C5" w:rsidRDefault="00AB2ECA" w:rsidP="00D10007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el-GR"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ΟΔΟΣ – ΑΡΙΘΜΟΣ – ΤΑΧ. ΚΩΔΙΚΑΣ:</w:t>
            </w:r>
          </w:p>
        </w:tc>
        <w:tc>
          <w:tcPr>
            <w:tcW w:w="4792" w:type="dxa"/>
            <w:gridSpan w:val="3"/>
            <w:shd w:val="clear" w:color="auto" w:fill="auto"/>
            <w:vAlign w:val="center"/>
          </w:tcPr>
          <w:p w14:paraId="1E140177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val="el-GR" w:eastAsia="el-GR"/>
              </w:rPr>
            </w:pPr>
          </w:p>
        </w:tc>
      </w:tr>
      <w:tr w:rsidR="00AB2ECA" w:rsidRPr="00C933C5" w14:paraId="05B1C0CD" w14:textId="77777777" w:rsidTr="002D51E0">
        <w:trPr>
          <w:jc w:val="center"/>
        </w:trPr>
        <w:tc>
          <w:tcPr>
            <w:tcW w:w="4254" w:type="dxa"/>
            <w:gridSpan w:val="2"/>
            <w:shd w:val="clear" w:color="auto" w:fill="auto"/>
          </w:tcPr>
          <w:p w14:paraId="23986C1C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ΑΦΜ:</w:t>
            </w:r>
          </w:p>
        </w:tc>
        <w:tc>
          <w:tcPr>
            <w:tcW w:w="4792" w:type="dxa"/>
            <w:gridSpan w:val="3"/>
            <w:shd w:val="clear" w:color="auto" w:fill="auto"/>
            <w:vAlign w:val="center"/>
          </w:tcPr>
          <w:p w14:paraId="29784312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AB2ECA" w:rsidRPr="00C933C5" w14:paraId="2F2ADEEB" w14:textId="77777777" w:rsidTr="002D51E0">
        <w:trPr>
          <w:jc w:val="center"/>
        </w:trPr>
        <w:tc>
          <w:tcPr>
            <w:tcW w:w="4254" w:type="dxa"/>
            <w:gridSpan w:val="2"/>
            <w:shd w:val="clear" w:color="auto" w:fill="auto"/>
          </w:tcPr>
          <w:p w14:paraId="0F3E3D99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ΔΟΥ:</w:t>
            </w:r>
          </w:p>
        </w:tc>
        <w:tc>
          <w:tcPr>
            <w:tcW w:w="4792" w:type="dxa"/>
            <w:gridSpan w:val="3"/>
            <w:shd w:val="clear" w:color="auto" w:fill="auto"/>
            <w:vAlign w:val="center"/>
          </w:tcPr>
          <w:p w14:paraId="61CDCC7E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AB2ECA" w:rsidRPr="00C933C5" w14:paraId="0590DA63" w14:textId="77777777" w:rsidTr="002D51E0">
        <w:trPr>
          <w:jc w:val="center"/>
        </w:trPr>
        <w:tc>
          <w:tcPr>
            <w:tcW w:w="4254" w:type="dxa"/>
            <w:gridSpan w:val="2"/>
            <w:shd w:val="clear" w:color="auto" w:fill="auto"/>
          </w:tcPr>
          <w:p w14:paraId="1AB6B723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ΤΗΛΕΦΩΝΟ:</w:t>
            </w:r>
          </w:p>
        </w:tc>
        <w:tc>
          <w:tcPr>
            <w:tcW w:w="4792" w:type="dxa"/>
            <w:gridSpan w:val="3"/>
            <w:shd w:val="clear" w:color="auto" w:fill="auto"/>
            <w:vAlign w:val="center"/>
          </w:tcPr>
          <w:p w14:paraId="6E9C846A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val="el-GR" w:eastAsia="el-GR"/>
              </w:rPr>
            </w:pPr>
          </w:p>
        </w:tc>
      </w:tr>
      <w:tr w:rsidR="00AB2ECA" w:rsidRPr="00C933C5" w14:paraId="3B5CF717" w14:textId="77777777" w:rsidTr="002D51E0">
        <w:trPr>
          <w:trHeight w:val="526"/>
          <w:jc w:val="center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16AF74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i/>
                <w:sz w:val="20"/>
                <w:szCs w:val="20"/>
                <w:lang w:eastAsia="el-GR"/>
              </w:rPr>
            </w:pPr>
            <w:r w:rsidRPr="00C933C5">
              <w:rPr>
                <w:rFonts w:ascii="Cambria" w:hAnsi="Cambria"/>
                <w:b/>
                <w:sz w:val="20"/>
                <w:szCs w:val="20"/>
                <w:lang w:eastAsia="el-GR"/>
              </w:rPr>
              <w:t>ΔΙΕΥΘΥΝΣΗ ΗΛΕΚΤΡΟΝ. ΤΑΧΥΔΡΟΜEIOΥ (EMAIL):</w:t>
            </w:r>
          </w:p>
        </w:tc>
        <w:tc>
          <w:tcPr>
            <w:tcW w:w="47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5C469" w14:textId="77777777" w:rsidR="00AB2ECA" w:rsidRPr="00C933C5" w:rsidRDefault="00AB2ECA" w:rsidP="00D10007">
            <w:pPr>
              <w:spacing w:before="120" w:after="120"/>
              <w:rPr>
                <w:rFonts w:ascii="Cambria" w:hAnsi="Cambria"/>
                <w:b/>
                <w:i/>
                <w:sz w:val="20"/>
                <w:szCs w:val="20"/>
                <w:lang w:eastAsia="el-GR"/>
              </w:rPr>
            </w:pPr>
          </w:p>
        </w:tc>
      </w:tr>
      <w:tr w:rsidR="00255608" w:rsidRPr="00C933C5" w14:paraId="3EF6E136" w14:textId="77777777" w:rsidTr="00BA550C">
        <w:trPr>
          <w:trHeight w:val="436"/>
          <w:jc w:val="center"/>
        </w:trPr>
        <w:tc>
          <w:tcPr>
            <w:tcW w:w="9046" w:type="dxa"/>
            <w:gridSpan w:val="5"/>
            <w:tcBorders>
              <w:bottom w:val="single" w:sz="4" w:space="0" w:color="auto"/>
            </w:tcBorders>
            <w:shd w:val="pct5" w:color="auto" w:fill="auto"/>
          </w:tcPr>
          <w:p w14:paraId="31FFD764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933C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ΟΙΚΟΝΟΜΙΚΗ ΠΡΟΣΦΟΡΑ</w:t>
            </w:r>
          </w:p>
        </w:tc>
      </w:tr>
      <w:tr w:rsidR="00255608" w:rsidRPr="00204889" w14:paraId="0D1B6907" w14:textId="77777777" w:rsidTr="002D51E0">
        <w:trPr>
          <w:trHeight w:val="97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02AA2D8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933C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Α/Α</w:t>
            </w:r>
          </w:p>
        </w:tc>
        <w:tc>
          <w:tcPr>
            <w:tcW w:w="462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EB60439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933C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n-US"/>
              </w:rPr>
              <w:t>ΠΕΡΙΓΡΑΦΗ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FE92A71" w14:textId="77777777" w:rsidR="00B57E05" w:rsidRPr="00B57E05" w:rsidRDefault="00B57E05" w:rsidP="00B57E05">
            <w:pPr>
              <w:ind w:left="142"/>
              <w:jc w:val="center"/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</w:pPr>
            <w:r w:rsidRPr="00B57E0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>Ωριαία Αμοιβή Αναδόχου</w:t>
            </w:r>
          </w:p>
          <w:p w14:paraId="47CCCAAF" w14:textId="6F4F2452" w:rsidR="00255608" w:rsidRPr="00B57E05" w:rsidRDefault="00B57E05" w:rsidP="00B57E05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  <w:r w:rsidRPr="00B57E05"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 xml:space="preserve">Χωρίς ΦΠΑ 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6887C76" w14:textId="3CA61810" w:rsidR="00255608" w:rsidRPr="00B57E05" w:rsidRDefault="00B57E05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  <w:r>
              <w:rPr>
                <w:rFonts w:ascii="Cambria" w:hAnsi="Cambria" w:cs="Verdana"/>
                <w:b/>
                <w:bCs/>
                <w:iCs/>
                <w:sz w:val="20"/>
                <w:szCs w:val="20"/>
                <w:lang w:val="el-GR"/>
              </w:rPr>
              <w:t>Ωριαία Αμοιβή Αναδόχου με ΦΠΑ 24%</w:t>
            </w:r>
          </w:p>
        </w:tc>
      </w:tr>
      <w:tr w:rsidR="00255608" w:rsidRPr="00204889" w14:paraId="34D9E8AB" w14:textId="77777777" w:rsidTr="002D51E0">
        <w:trPr>
          <w:trHeight w:val="111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F98E0D2" w14:textId="122AB679" w:rsidR="00255608" w:rsidRPr="00661B55" w:rsidRDefault="00661B55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  <w:r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  <w:t>1</w:t>
            </w:r>
          </w:p>
        </w:tc>
        <w:tc>
          <w:tcPr>
            <w:tcW w:w="4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DDE4" w14:textId="4B9D1952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Παροχή υπηρεσίας συντήρησης και επισκευής των κτιριακών ηλεκτρολογικών εγκαταστάσεων του ΚΑΠΕ στο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Πικέρμι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και στην Κερατέα</w:t>
            </w:r>
            <w:r w:rsidR="00204889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Αττικής.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br/>
            </w:r>
          </w:p>
          <w:p w14:paraId="480533BE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Αναλυτική περιγραφή του Αντικειμένου:</w:t>
            </w:r>
          </w:p>
          <w:p w14:paraId="0A9ED78B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/>
                <w:bCs/>
                <w:iCs/>
                <w:sz w:val="20"/>
                <w:szCs w:val="20"/>
                <w:u w:val="single"/>
                <w:lang w:val="el-GR"/>
              </w:rPr>
            </w:pPr>
          </w:p>
          <w:p w14:paraId="0ABFA8F8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Οι ηλεκτρολογικές εργασίες αφορούν σε κτιριακές εγκαταστάσεις συνολικού εμβαδού 4.000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n-US"/>
              </w:rPr>
              <w:t>m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vertAlign w:val="superscript"/>
                <w:lang w:val="el-GR"/>
              </w:rPr>
              <w:t>2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περίπου, οι οποίες τροφοδοτούνται από τρεις (3) υποσταθμούς Μ.Τ. (Οι δύο(2) ισχύος 1.030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n-US"/>
              </w:rPr>
              <w:t>kVA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στο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Πικέρμι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Αττικής, και ο τρίτος ισχύος 100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n-US"/>
              </w:rPr>
              <w:t>kVA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στην Κερατέα).</w:t>
            </w:r>
          </w:p>
          <w:p w14:paraId="75C1F1C8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Συγκεκριμένα απαιτείται η παροχή υπηρεσίας, όπως αναφέρονται παρακάτω: </w:t>
            </w:r>
          </w:p>
          <w:p w14:paraId="2C656EA2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Τακτοποίηση, στήριξη, συμμόρφωσης καλωδιώσεων, κτλ.</w:t>
            </w:r>
          </w:p>
          <w:p w14:paraId="4A5202C2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Στερέωση πριζών και καναλιών όδευσης καλωδιώσεων.</w:t>
            </w:r>
          </w:p>
          <w:p w14:paraId="4740B860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Έλεγχος καλής λειτουργίας ηλεκτρολογικού υλικού και συντήρηση ηλεκτρικών πινάκων. </w:t>
            </w:r>
          </w:p>
          <w:p w14:paraId="18EE03EF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Δοκιμή λειτουργίας των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ρελέ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διαρροής. </w:t>
            </w:r>
          </w:p>
          <w:p w14:paraId="7E199F1E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Έλεγχος λειτουργίας των φωτιστικών ασφαλείας (επισκευή, αντικατάσταση λαμπτήρων, µπαταριών κ.α.). </w:t>
            </w:r>
          </w:p>
          <w:p w14:paraId="37FA440D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Έλεγχος και η αποκατάσταση βλαβών στο δίκτυο χαμηλής τάσης (πχ λόγω βραχυκυκλώματος, διαρροής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κ.λ.π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.). </w:t>
            </w:r>
          </w:p>
          <w:p w14:paraId="17116DD5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lastRenderedPageBreak/>
              <w:t xml:space="preserve">Αντικατάσταση λαμπτήρων,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στάρτερ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κ.λ.π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. σε κάθε είδους φωτιστικό (φθορίου, 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n-US"/>
              </w:rPr>
              <w:t>spot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, απλίκες, κ.α.) εσωτερικού και εξωτερικού χώρου. </w:t>
            </w:r>
          </w:p>
          <w:p w14:paraId="12AF4652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n-US"/>
              </w:rPr>
              <w:t>T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οποθέτηση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και σύνδεση φωτιστικών παντός τύπου.</w:t>
            </w:r>
          </w:p>
          <w:p w14:paraId="69296545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Νέες παροχές σε συσκευές και πίνακες μέχρι 20 μέτρα.</w:t>
            </w:r>
          </w:p>
          <w:p w14:paraId="741EEBB8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Μικροαλλαγές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και τροποποιήσεις ηλεκτρολογικών εγκαταστάσεων.</w:t>
            </w:r>
          </w:p>
          <w:p w14:paraId="6145E202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Αντικατάσταση μη λειτουργικών φωτιστικών σωμάτων. </w:t>
            </w:r>
          </w:p>
          <w:p w14:paraId="50FC63C8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Έλεγχος και αποκατάσταση βλαβών τηλεφωνικού δικτύου.</w:t>
            </w:r>
          </w:p>
          <w:p w14:paraId="7D8CCF90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Έλεγχος και αποκατάσταση συνδέσεων σε πρίζες τηλεφώνων. </w:t>
            </w:r>
          </w:p>
          <w:p w14:paraId="1E03B456" w14:textId="77777777" w:rsidR="002D51E0" w:rsidRPr="002D51E0" w:rsidRDefault="002D51E0" w:rsidP="002D51E0">
            <w:pPr>
              <w:numPr>
                <w:ilvl w:val="0"/>
                <w:numId w:val="27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Έλεγχος και αποκατάσταση συνδέσεων ηλεκτρομηχανολογικού εξοπλισμού.</w:t>
            </w:r>
          </w:p>
          <w:p w14:paraId="0F2A05D0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Η υπηρεσία θα παρέχεται από Ανάδοχο ο οποίος πρέπει να είναι κάτοχος άδειας ηλεκτρολόγου, όπως προβλέπεται από την ελληνική νομοθεσία (ΠΔ 108/2013 [ΦΕΚ 141 Α/12-06-2013]) και συγκεκριμένα να έχει τουλάχιστον Άδεια Εγκαταστάτη Ηλεκτρολόγου 1ης Ομάδας, Α΄ Ειδικότητας, ο οποίος θα διαθέτει για την εκτέλεση των εργασιών τον απαιτούμενο εξοπλισμό και εργαλεία με τους παρακάτω όρους : </w:t>
            </w:r>
          </w:p>
          <w:p w14:paraId="5A2DA360" w14:textId="77777777" w:rsidR="002D51E0" w:rsidRPr="002D51E0" w:rsidRDefault="002D51E0" w:rsidP="002D51E0">
            <w:pPr>
              <w:numPr>
                <w:ilvl w:val="0"/>
                <w:numId w:val="30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Η τιμή ανά ώρα απασχόλησης θα πρέπει να συμπεριλαμβάνει όλες τις νόμιμες κρατήσεις καθώς και τον αναλογούντα ΦΠΑ. Στην τιμή ανά ώρα απασχόλησης θα περιλαμβάνεται και η τυχόν απαιτούμενη ώρα απασχόλησης βοηθού ηλεκτρολόγου.</w:t>
            </w:r>
          </w:p>
          <w:p w14:paraId="23E1772A" w14:textId="77777777" w:rsidR="002D51E0" w:rsidRPr="002D51E0" w:rsidRDefault="002D51E0" w:rsidP="002D51E0">
            <w:pPr>
              <w:numPr>
                <w:ilvl w:val="0"/>
                <w:numId w:val="30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Η εκτέλεση των ανωτέρων υπηρεσιών από τον Ανάδοχο θα διενεργείται όποτε κρίνεται αναγκαίο από τη Τεχνική Υπηρεσία με αμοιβή η οποία θα υπολογίζεται ανά ώρα εργασίας βάσει της προσφοράς του Αναδόχου, με ελάχιστη χρέωση τρεις (03) ώρες ανά πρόσκληση. </w:t>
            </w:r>
          </w:p>
          <w:p w14:paraId="1BA53F35" w14:textId="77777777" w:rsidR="002D51E0" w:rsidRPr="002D51E0" w:rsidRDefault="002D51E0" w:rsidP="002D51E0">
            <w:pPr>
              <w:numPr>
                <w:ilvl w:val="0"/>
                <w:numId w:val="28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Ο Ανάδοχος θα καλείται να παρέχει τις υπηρεσίες του όταν υπάρχει ανάγκη, από υπάλληλο της Διεύθυνσης Διοικητικών και Οικονομικών Υπηρεσιών. Ο μέγιστος χρόνος απόκρισης στις μη επείγουσες περιπτώσεις θα πρέπει να είναι 3 ημέρες από την επομένη της ειδοποίησής του και στις έκτακτες περιπτώσεις εντός της ίδιας ημέρας της ειδοποίησής του.</w:t>
            </w:r>
          </w:p>
          <w:p w14:paraId="2D768988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Η υπηρεσία για την κάλυψη των ανωτέρω αναγκών θα παρέχεται τις εργάσιμες ημέρες και ώρες (08:00-17:30) και εκτάκτως σε επείγουσες περιπτώσεις εκτός ωραρίου και εργάσιμων ημερών. </w:t>
            </w:r>
          </w:p>
          <w:p w14:paraId="3786DF81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Οι υποψήφιοι με ποινή αποκλεισμού με την οικονομική προσφορά τους θα προσκομίσουν τις απαιτούμενες επαγγελματικές τους άδειες. </w:t>
            </w:r>
          </w:p>
          <w:p w14:paraId="4C391B13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lastRenderedPageBreak/>
              <w:t xml:space="preserve">Διάρκεια της παροχής της υπηρεσίας ένα χρόνο από την ημερομηνία υπογραφής της σχετικής σύμβασης ή μέχρι εξαντλήσεως του ποσού. </w:t>
            </w:r>
          </w:p>
          <w:p w14:paraId="45D07F1E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Ο ανάδοχος θα έχει την πλήρη ευθύνη τήρησης της νομοθεσίας και των κανόνων ασφαλείας κατά την εκτέλεση των εργασιών και των ασφαλιστικών του υποχρεώσεων.</w:t>
            </w:r>
          </w:p>
          <w:p w14:paraId="6AA98C38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Τα απαιτούμενα υλικά και ανταλλακτικά για τις επισκευές και μικροεπεμβάσεις θα διατίθενται από το ΚΑΠΕ.</w:t>
            </w:r>
          </w:p>
          <w:p w14:paraId="057536E2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Η πιστοποίηση της επίσκεψης (ημερομηνία - ώρα προσέλευσης – ώρα αποχώρησης) θα γίνεται με βάση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παρουσιολόγιο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το οποίο θα τηρείται στην Διεύθυνση Διοικητικών και Οικονομικών Υπηρεσιών όπου θα καταγράφονται και θα προσυπογράφονται από τον Ανάδοχο οι ημερομηνίες και ώρες απασχόλησης καθώς οι παρεχόμενες κάθε φορά εργασίες. </w:t>
            </w:r>
          </w:p>
          <w:p w14:paraId="7CC73D36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Η πληρωμή του αναδόχου θα γίνεται ανά τρίμηνο ή με την εξάντληση του διατιθέμενου ποσού με βάση τις πιστοποιημένες ώρες εργασίας σύμφωνα με το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παρουσιολόγιο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και με τη προσκόμιση των απαιτούμενων παραστατικών και εγγράφων (τιμολόγια, ενημερότητες,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κλπ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). </w:t>
            </w:r>
          </w:p>
          <w:p w14:paraId="02843AE7" w14:textId="77777777" w:rsidR="002D51E0" w:rsidRPr="002D51E0" w:rsidRDefault="002D51E0" w:rsidP="002D51E0">
            <w:pPr>
              <w:numPr>
                <w:ilvl w:val="0"/>
                <w:numId w:val="29"/>
              </w:numPr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Οι τυχόν κρατήσεις θα βαρύνουν τον ανάδοχο.</w:t>
            </w:r>
          </w:p>
          <w:p w14:paraId="25D4742E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Κατά την εκτέλεση των εργασιών, ο ανάδοχος τηρεί τις υποχρεώσεις στους τομείς του περιβαλλοντικού, κοινωνικοασφαλιστικού και εργατικού δικαίου σύμφωνα με την κείμενη νομοθεσία.</w:t>
            </w:r>
          </w:p>
          <w:p w14:paraId="6279CE65" w14:textId="77777777" w:rsidR="002D51E0" w:rsidRPr="002D51E0" w:rsidRDefault="002D51E0" w:rsidP="002D51E0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Ως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κριτήριο ανάθεσης θα είναι η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χαµηλότερη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προσφερόµενη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τιµή</w:t>
            </w:r>
            <w:proofErr w:type="spellEnd"/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ανά ώρα εργασίας (€/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n-US"/>
              </w:rPr>
              <w:t>h</w:t>
            </w:r>
            <w:r w:rsidRPr="002D51E0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>).</w:t>
            </w:r>
          </w:p>
          <w:p w14:paraId="6C624FAF" w14:textId="27980C34" w:rsidR="00255608" w:rsidRPr="00C933C5" w:rsidRDefault="00255608" w:rsidP="00BA550C">
            <w:pPr>
              <w:ind w:hanging="12"/>
              <w:jc w:val="both"/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297E091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  <w:r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lastRenderedPageBreak/>
              <w:t xml:space="preserve">    </w:t>
            </w:r>
          </w:p>
          <w:p w14:paraId="678ED50B" w14:textId="08FA6CE9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6D8FF3F0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468E4270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5A978D17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030C935C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</w:p>
          <w:p w14:paraId="147DE865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</w:p>
          <w:p w14:paraId="3D493878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832E7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  <w:r w:rsidRPr="00C933C5">
              <w:rPr>
                <w:rFonts w:ascii="Cambria" w:hAnsi="Cambria" w:cs="Verdana"/>
                <w:bCs/>
                <w:iCs/>
                <w:sz w:val="20"/>
                <w:szCs w:val="20"/>
                <w:lang w:val="el-GR"/>
              </w:rPr>
              <w:t xml:space="preserve">    </w:t>
            </w:r>
          </w:p>
          <w:p w14:paraId="7E95A38D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4DB05E0B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0214B5B9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6F8C38FF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717370B8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74B82AC4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0"/>
                <w:szCs w:val="20"/>
                <w:lang w:val="el-GR"/>
              </w:rPr>
            </w:pPr>
          </w:p>
          <w:p w14:paraId="584D9F02" w14:textId="77777777" w:rsidR="00255608" w:rsidRPr="00C933C5" w:rsidRDefault="00255608" w:rsidP="00255608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0"/>
                <w:szCs w:val="20"/>
                <w:lang w:val="el-GR"/>
              </w:rPr>
            </w:pPr>
          </w:p>
        </w:tc>
      </w:tr>
      <w:tr w:rsidR="00BA550C" w:rsidRPr="00BA550C" w14:paraId="67787C29" w14:textId="77777777" w:rsidTr="002D51E0">
        <w:trPr>
          <w:trHeight w:val="111"/>
          <w:jc w:val="center"/>
        </w:trPr>
        <w:tc>
          <w:tcPr>
            <w:tcW w:w="5382" w:type="dxa"/>
            <w:gridSpan w:val="3"/>
            <w:shd w:val="pct5" w:color="auto" w:fill="auto"/>
            <w:vAlign w:val="center"/>
          </w:tcPr>
          <w:p w14:paraId="4DA5B47E" w14:textId="6F6C1F06" w:rsidR="00BA550C" w:rsidRPr="004C663C" w:rsidRDefault="00BA550C" w:rsidP="00E27B5E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4C663C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  <w:lastRenderedPageBreak/>
              <w:t>ΩΡΙΑΙΑ ΑΜΟΙΒΗ ΑΝΑΔΟΧΟΥ</w:t>
            </w:r>
          </w:p>
        </w:tc>
        <w:tc>
          <w:tcPr>
            <w:tcW w:w="1837" w:type="dxa"/>
            <w:shd w:val="pct5" w:color="auto" w:fill="auto"/>
            <w:vAlign w:val="center"/>
          </w:tcPr>
          <w:p w14:paraId="690A1C20" w14:textId="77777777" w:rsidR="00BA550C" w:rsidRPr="004C663C" w:rsidRDefault="00BA550C" w:rsidP="00E27B5E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4C663C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  <w:t>ΟΛΟΓΡΑΦΩΣ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3E5F1C2" w14:textId="77777777" w:rsidR="00BA550C" w:rsidRPr="004C663C" w:rsidRDefault="00BA550C" w:rsidP="00E27B5E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4C663C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  <w:t>ΑΡΙΘΜΗΤΙΚΩΣ</w:t>
            </w:r>
          </w:p>
        </w:tc>
      </w:tr>
      <w:tr w:rsidR="00BA550C" w:rsidRPr="00204889" w14:paraId="78FEE8FF" w14:textId="77777777" w:rsidTr="002D51E0">
        <w:trPr>
          <w:trHeight w:val="111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4402530" w14:textId="11E37579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  <w:r w:rsidRPr="004C663C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  <w:t>Ωριαία Αμοιβή Αναδόχου Οικονομικής Προσφοράς χωρίς ΦΠΑ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BDF5250" w14:textId="77777777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5C9E3" w14:textId="77777777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</w:p>
        </w:tc>
      </w:tr>
      <w:tr w:rsidR="00BA550C" w:rsidRPr="00204889" w14:paraId="2AED0734" w14:textId="77777777" w:rsidTr="002D51E0">
        <w:trPr>
          <w:trHeight w:val="111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63D6F2D" w14:textId="294F238F" w:rsidR="00BA550C" w:rsidRPr="00E27B5E" w:rsidRDefault="00BA550C" w:rsidP="00E27B5E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4C663C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  <w:t>ΦΠΑ Ωριαίας Αμοιβής Οικονομικής Προσφοράς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DDF0AF4" w14:textId="77777777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2B46" w14:textId="77777777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</w:p>
        </w:tc>
      </w:tr>
      <w:tr w:rsidR="00BA550C" w:rsidRPr="00204889" w14:paraId="3FFD4193" w14:textId="77777777" w:rsidTr="002D51E0">
        <w:trPr>
          <w:trHeight w:val="111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23A2982" w14:textId="56D078D1" w:rsidR="002D51E0" w:rsidRPr="002D51E0" w:rsidRDefault="00BA550C" w:rsidP="002D51E0">
            <w:pPr>
              <w:ind w:left="142"/>
              <w:jc w:val="center"/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</w:pPr>
            <w:r w:rsidRPr="004C663C">
              <w:rPr>
                <w:rFonts w:ascii="Cambria" w:hAnsi="Cambria" w:cs="Verdana"/>
                <w:b/>
                <w:bCs/>
                <w:i/>
                <w:iCs/>
                <w:sz w:val="22"/>
                <w:szCs w:val="22"/>
                <w:lang w:val="el-GR"/>
              </w:rPr>
              <w:t>Συνολική Ωριαία Αμοιβή Οικονομικής  Προσφοράς με ΦΠΑ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C575556" w14:textId="77777777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C0C5" w14:textId="77777777" w:rsidR="00BA550C" w:rsidRPr="004C663C" w:rsidRDefault="00BA550C" w:rsidP="00BA550C">
            <w:pPr>
              <w:ind w:left="142"/>
              <w:jc w:val="center"/>
              <w:rPr>
                <w:rFonts w:ascii="Cambria" w:hAnsi="Cambria" w:cs="Verdana"/>
                <w:bCs/>
                <w:i/>
                <w:iCs/>
                <w:sz w:val="22"/>
                <w:szCs w:val="22"/>
                <w:lang w:val="el-GR"/>
              </w:rPr>
            </w:pPr>
          </w:p>
        </w:tc>
      </w:tr>
    </w:tbl>
    <w:p w14:paraId="2653600B" w14:textId="77777777" w:rsidR="002D51E0" w:rsidRDefault="002D51E0" w:rsidP="005E7C41">
      <w:pPr>
        <w:keepNext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8830C1E" w14:textId="16B7DAD8" w:rsidR="00255608" w:rsidRPr="00C933C5" w:rsidRDefault="00255608" w:rsidP="005E7C41">
      <w:pPr>
        <w:keepNext/>
        <w:jc w:val="center"/>
        <w:rPr>
          <w:rFonts w:ascii="Cambria" w:hAnsi="Cambria" w:cs="Verdana"/>
          <w:bCs/>
          <w:i/>
          <w:iCs/>
          <w:sz w:val="20"/>
          <w:szCs w:val="20"/>
          <w:lang w:val="el-GR"/>
        </w:rPr>
      </w:pPr>
      <w:r w:rsidRPr="00C933C5">
        <w:rPr>
          <w:rFonts w:ascii="Cambria" w:hAnsi="Cambria" w:cs="Verdana"/>
          <w:bCs/>
          <w:iCs/>
          <w:sz w:val="20"/>
          <w:szCs w:val="20"/>
          <w:lang w:val="el-GR"/>
        </w:rPr>
        <w:t>Ημερομηνία:   ..…..-…….-202</w:t>
      </w:r>
      <w:r w:rsidR="00B57E05">
        <w:rPr>
          <w:rFonts w:ascii="Cambria" w:hAnsi="Cambria" w:cs="Verdana"/>
          <w:bCs/>
          <w:iCs/>
          <w:sz w:val="20"/>
          <w:szCs w:val="20"/>
          <w:lang w:val="el-GR"/>
        </w:rPr>
        <w:t>4</w:t>
      </w:r>
    </w:p>
    <w:p w14:paraId="5DB572CB" w14:textId="77777777" w:rsidR="00255608" w:rsidRPr="00C933C5" w:rsidRDefault="00255608" w:rsidP="0007137E">
      <w:pPr>
        <w:keepNext/>
        <w:ind w:left="142"/>
        <w:jc w:val="center"/>
        <w:rPr>
          <w:rFonts w:ascii="Cambria" w:hAnsi="Cambria" w:cs="Verdana"/>
          <w:bCs/>
          <w:i/>
          <w:iCs/>
          <w:sz w:val="20"/>
          <w:szCs w:val="20"/>
          <w:lang w:val="el-GR"/>
        </w:rPr>
      </w:pPr>
    </w:p>
    <w:p w14:paraId="1501B1C3" w14:textId="46C73948" w:rsidR="00255608" w:rsidRDefault="00255608" w:rsidP="0007137E">
      <w:pPr>
        <w:keepNext/>
        <w:ind w:left="142"/>
        <w:jc w:val="center"/>
        <w:rPr>
          <w:rFonts w:ascii="Cambria" w:hAnsi="Cambria" w:cs="Verdana"/>
          <w:bCs/>
          <w:i/>
          <w:iCs/>
          <w:sz w:val="20"/>
          <w:szCs w:val="20"/>
          <w:lang w:val="el-GR"/>
        </w:rPr>
      </w:pPr>
    </w:p>
    <w:p w14:paraId="63ED4C55" w14:textId="77777777" w:rsidR="00B57E05" w:rsidRPr="00C933C5" w:rsidRDefault="00B57E05" w:rsidP="0007137E">
      <w:pPr>
        <w:keepNext/>
        <w:ind w:left="142"/>
        <w:jc w:val="center"/>
        <w:rPr>
          <w:rFonts w:ascii="Cambria" w:hAnsi="Cambria" w:cs="Verdana"/>
          <w:bCs/>
          <w:i/>
          <w:iCs/>
          <w:sz w:val="20"/>
          <w:szCs w:val="20"/>
          <w:lang w:val="el-GR"/>
        </w:rPr>
      </w:pPr>
    </w:p>
    <w:p w14:paraId="7FAD2679" w14:textId="77777777" w:rsidR="00255608" w:rsidRPr="00C933C5" w:rsidRDefault="00255608" w:rsidP="0007137E">
      <w:pPr>
        <w:keepNext/>
        <w:ind w:left="142"/>
        <w:jc w:val="center"/>
        <w:rPr>
          <w:rFonts w:ascii="Cambria" w:hAnsi="Cambria" w:cs="Verdana"/>
          <w:bCs/>
          <w:i/>
          <w:iCs/>
          <w:sz w:val="20"/>
          <w:szCs w:val="20"/>
          <w:lang w:val="el-GR"/>
        </w:rPr>
      </w:pPr>
      <w:r w:rsidRPr="00C933C5">
        <w:rPr>
          <w:rFonts w:ascii="Cambria" w:hAnsi="Cambria" w:cs="Verdana"/>
          <w:bCs/>
          <w:iCs/>
          <w:sz w:val="20"/>
          <w:szCs w:val="20"/>
          <w:lang w:val="el-GR"/>
        </w:rPr>
        <w:t>Η/Ο Προσφέρουσα/ων</w:t>
      </w:r>
    </w:p>
    <w:p w14:paraId="73812815" w14:textId="7F76D9D5" w:rsidR="00255608" w:rsidRDefault="00255608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  <w:r w:rsidRPr="00C933C5">
        <w:rPr>
          <w:rFonts w:ascii="Cambria" w:hAnsi="Cambria" w:cs="Verdana"/>
          <w:bCs/>
          <w:iCs/>
          <w:sz w:val="20"/>
          <w:szCs w:val="20"/>
          <w:lang w:val="el-GR"/>
        </w:rPr>
        <w:t>(Υπογραφή και Σφραγίδα)</w:t>
      </w:r>
    </w:p>
    <w:p w14:paraId="0D8FBD10" w14:textId="5E54CBE1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61E51FF" w14:textId="36148585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C5320DF" w14:textId="2C20F7E2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07D27006" w14:textId="530802A7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55AA944" w14:textId="321C856C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0B37537C" w14:textId="648A67F4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CC2E66A" w14:textId="4C0E4421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A5874BD" w14:textId="0E834CD5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E273682" w14:textId="2162FCBC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6D86742A" w14:textId="5A234E1E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778AD3E" w14:textId="0B9ADCEC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F1A0274" w14:textId="33DD093D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1B82E9E" w14:textId="51E14BD9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B27A59D" w14:textId="4B095373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3FD32D55" w14:textId="237EE574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635693B" w14:textId="5A12F152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3C0BE6B" w14:textId="3455CA5D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A41342A" w14:textId="127B1C0F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7F0150A" w14:textId="7063CCD6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3FB63464" w14:textId="4C04A38A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6902BC59" w14:textId="29008CA8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520D935" w14:textId="2839875E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20AF511" w14:textId="396877CD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7C8B927" w14:textId="6A740A85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00C48C2D" w14:textId="0F42577E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F2338A4" w14:textId="0540D5F1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35C3F11" w14:textId="24EC31B7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43BF859" w14:textId="5BB33104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046C599F" w14:textId="4BB6E335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23735CE" w14:textId="5B17F999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1CF53A6" w14:textId="49C8E4D1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3AFEF3C7" w14:textId="61DAE891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618E343" w14:textId="23D339FD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9645EAC" w14:textId="1A90DC6E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26529D3" w14:textId="3E025087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9D832D1" w14:textId="76226BB7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18B4BFC" w14:textId="77EEC9CD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EC0B3B6" w14:textId="61BB18DE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61B5EEFD" w14:textId="1B9E40CC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1288044" w14:textId="29CD8659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4CA7CF69" w14:textId="5CCCC922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374CFCF6" w14:textId="1F913A84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217EA8EE" w14:textId="1323772C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29F9C1D" w14:textId="5034E92A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8E1C7ED" w14:textId="28BF9682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58FDB0AC" w14:textId="176FA036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3061F669" w14:textId="3936D5DD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07B75036" w14:textId="1E8CE1B0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DBAEE03" w14:textId="2749B119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166689FF" w14:textId="77777777" w:rsidR="005E7C41" w:rsidRPr="005E7C41" w:rsidRDefault="005E7C41" w:rsidP="005E7C41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val="el-GR" w:eastAsia="en-US"/>
        </w:rPr>
      </w:pPr>
    </w:p>
    <w:p w14:paraId="1B824D11" w14:textId="70D33FD8" w:rsidR="005E7C41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p w14:paraId="734523EC" w14:textId="77777777" w:rsidR="005E7C41" w:rsidRPr="00C933C5" w:rsidRDefault="005E7C41" w:rsidP="0007137E">
      <w:pPr>
        <w:keepNext/>
        <w:ind w:left="142"/>
        <w:jc w:val="center"/>
        <w:rPr>
          <w:rFonts w:ascii="Cambria" w:hAnsi="Cambria" w:cs="Verdana"/>
          <w:bCs/>
          <w:iCs/>
          <w:sz w:val="20"/>
          <w:szCs w:val="20"/>
          <w:lang w:val="el-GR"/>
        </w:rPr>
      </w:pPr>
    </w:p>
    <w:sectPr w:rsidR="005E7C41" w:rsidRPr="00C933C5" w:rsidSect="00C933C5">
      <w:headerReference w:type="default" r:id="rId8"/>
      <w:footerReference w:type="default" r:id="rId9"/>
      <w:pgSz w:w="11906" w:h="16838"/>
      <w:pgMar w:top="1418" w:right="1418" w:bottom="1134" w:left="1418" w:header="737" w:footer="11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48B5" w14:textId="77777777" w:rsidR="007D56EA" w:rsidRDefault="007D56EA">
      <w:r>
        <w:separator/>
      </w:r>
    </w:p>
  </w:endnote>
  <w:endnote w:type="continuationSeparator" w:id="0">
    <w:p w14:paraId="5F66EABB" w14:textId="77777777" w:rsidR="007D56EA" w:rsidRDefault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293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437C" w14:textId="7C20FF56" w:rsidR="00BE2536" w:rsidRDefault="00BE253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B3CB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EF32" w14:textId="77777777" w:rsidR="007D56EA" w:rsidRDefault="007D56EA">
      <w:r>
        <w:separator/>
      </w:r>
    </w:p>
  </w:footnote>
  <w:footnote w:type="continuationSeparator" w:id="0">
    <w:p w14:paraId="67574B48" w14:textId="77777777" w:rsidR="007D56EA" w:rsidRDefault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04CB" w14:textId="692E905C" w:rsidR="008728D9" w:rsidRPr="008728D9" w:rsidRDefault="00740F85" w:rsidP="008728D9">
    <w:pPr>
      <w:suppressLineNumbers/>
      <w:tabs>
        <w:tab w:val="center" w:pos="4513"/>
        <w:tab w:val="right" w:pos="9026"/>
      </w:tabs>
      <w:ind w:firstLine="851"/>
      <w:rPr>
        <w:rFonts w:ascii="Calibri" w:hAnsi="Calibri" w:cs="font293"/>
        <w:color w:val="1F3864"/>
        <w:lang w:val="el-GR"/>
      </w:rPr>
    </w:pPr>
    <w:r>
      <w:rPr>
        <w:rFonts w:ascii="Calibri" w:hAnsi="Calibri" w:cs="font293"/>
        <w:noProof/>
        <w:color w:val="1F3864"/>
        <w:lang w:val="el-GR" w:eastAsia="el-GR"/>
      </w:rPr>
      <w:drawing>
        <wp:anchor distT="0" distB="0" distL="114935" distR="114935" simplePos="0" relativeHeight="251657216" behindDoc="0" locked="0" layoutInCell="1" allowOverlap="1" wp14:anchorId="05047539" wp14:editId="757A201B">
          <wp:simplePos x="0" y="0"/>
          <wp:positionH relativeFrom="page">
            <wp:posOffset>920750</wp:posOffset>
          </wp:positionH>
          <wp:positionV relativeFrom="page">
            <wp:posOffset>439420</wp:posOffset>
          </wp:positionV>
          <wp:extent cx="455295" cy="410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0" r="22673" b="30151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108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font293"/>
        <w:noProof/>
        <w:color w:val="1F3864"/>
        <w:lang w:val="el-GR" w:eastAsia="el-GR"/>
      </w:rPr>
      <w:drawing>
        <wp:anchor distT="0" distB="0" distL="114935" distR="114935" simplePos="0" relativeHeight="251658240" behindDoc="0" locked="0" layoutInCell="1" allowOverlap="1" wp14:anchorId="1711B1C6" wp14:editId="1D10B0D8">
          <wp:simplePos x="0" y="0"/>
          <wp:positionH relativeFrom="column">
            <wp:posOffset>4920615</wp:posOffset>
          </wp:positionH>
          <wp:positionV relativeFrom="page">
            <wp:posOffset>431800</wp:posOffset>
          </wp:positionV>
          <wp:extent cx="794385" cy="4260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4260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8D9" w:rsidRPr="008728D9">
      <w:rPr>
        <w:rFonts w:ascii="Calibri" w:hAnsi="Calibri" w:cs="font293"/>
        <w:color w:val="1F3864"/>
        <w:sz w:val="28"/>
        <w:szCs w:val="28"/>
        <w:lang w:val="el-GR"/>
      </w:rPr>
      <w:t>ΕΛΛΗΝΙΚΗ ΔΗΜΟΚΡΑΤΙΑ</w:t>
    </w:r>
  </w:p>
  <w:p w14:paraId="3610CC51" w14:textId="77777777" w:rsidR="008728D9" w:rsidRPr="008728D9" w:rsidRDefault="008728D9" w:rsidP="008728D9">
    <w:pPr>
      <w:suppressLineNumbers/>
      <w:tabs>
        <w:tab w:val="center" w:pos="4513"/>
      </w:tabs>
      <w:ind w:firstLine="851"/>
      <w:rPr>
        <w:rFonts w:ascii="Calibri" w:hAnsi="Calibri" w:cs="font293"/>
        <w:lang w:val="el-GR"/>
      </w:rPr>
    </w:pPr>
    <w:r w:rsidRPr="008728D9">
      <w:rPr>
        <w:rFonts w:ascii="Calibri" w:hAnsi="Calibri" w:cs="font293"/>
        <w:lang w:val="el-GR"/>
      </w:rPr>
      <w:t>ΥΠΟΥΡΓΕΙΟ ΠΕΡΙΒΑΛΛΟΝΤΟΣ ΚΑΙ ΕΝΕΡΓΕΙΑΣ</w:t>
    </w:r>
  </w:p>
  <w:p w14:paraId="3D7B20D5" w14:textId="77777777" w:rsidR="008728D9" w:rsidRPr="008728D9" w:rsidRDefault="008728D9" w:rsidP="008728D9">
    <w:pPr>
      <w:suppressLineNumbers/>
      <w:pBdr>
        <w:bottom w:val="single" w:sz="20" w:space="1" w:color="800000"/>
      </w:pBdr>
      <w:tabs>
        <w:tab w:val="left" w:pos="3492"/>
      </w:tabs>
      <w:ind w:firstLine="1134"/>
      <w:rPr>
        <w:rFonts w:ascii="Calibri" w:hAnsi="Calibri" w:cs="font293"/>
        <w:b/>
        <w:bCs/>
        <w:color w:val="800000"/>
        <w:sz w:val="4"/>
        <w:szCs w:val="4"/>
        <w:lang w:val="el-GR"/>
      </w:rPr>
    </w:pPr>
    <w:r w:rsidRPr="008728D9">
      <w:rPr>
        <w:rFonts w:ascii="Calibri" w:hAnsi="Calibri" w:cs="font293"/>
        <w:b/>
        <w:bCs/>
        <w:color w:val="800000"/>
        <w:sz w:val="4"/>
        <w:szCs w:val="4"/>
        <w:lang w:val="el-GR"/>
      </w:rPr>
      <w:tab/>
    </w:r>
  </w:p>
  <w:p w14:paraId="2CA65E39" w14:textId="3C8B9CB8" w:rsidR="00BE2536" w:rsidRPr="005E7C41" w:rsidRDefault="008728D9" w:rsidP="005E7C41">
    <w:pPr>
      <w:spacing w:before="40"/>
      <w:rPr>
        <w:rFonts w:ascii="Verdana" w:hAnsi="Verdana" w:cs="Verdana"/>
        <w:color w:val="333399"/>
        <w:sz w:val="20"/>
        <w:lang w:val="el-GR"/>
      </w:rPr>
    </w:pPr>
    <w:r w:rsidRPr="008728D9">
      <w:rPr>
        <w:rFonts w:ascii="Verdana" w:hAnsi="Verdana" w:cs="Verdana"/>
        <w:b/>
        <w:bCs/>
        <w:color w:val="800000"/>
        <w:sz w:val="20"/>
        <w:szCs w:val="20"/>
        <w:lang w:val="el-GR"/>
      </w:rPr>
      <w:t>ΚΕΝΤΡΟ ΑΝΑΝΕΩΣΙΜΩΝ ΠΗΓΩΝ ΚΑΙ ΕΞΟΙΚΟΝΟΜΗΣΗΣ ΕΝΕΡΓΕΙΑΣ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D6103DA"/>
    <w:multiLevelType w:val="hybridMultilevel"/>
    <w:tmpl w:val="E1283BD6"/>
    <w:lvl w:ilvl="0" w:tplc="62BA165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5E9C"/>
    <w:multiLevelType w:val="hybridMultilevel"/>
    <w:tmpl w:val="AF68C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26B67"/>
    <w:multiLevelType w:val="hybridMultilevel"/>
    <w:tmpl w:val="14DEDEB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7A58"/>
    <w:multiLevelType w:val="hybridMultilevel"/>
    <w:tmpl w:val="BC36ED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557BB"/>
    <w:multiLevelType w:val="hybridMultilevel"/>
    <w:tmpl w:val="F6CCB618"/>
    <w:lvl w:ilvl="0" w:tplc="3D5C6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9C9"/>
    <w:multiLevelType w:val="hybridMultilevel"/>
    <w:tmpl w:val="F856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6017D"/>
    <w:multiLevelType w:val="multilevel"/>
    <w:tmpl w:val="96C2F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311A62F6"/>
    <w:multiLevelType w:val="hybridMultilevel"/>
    <w:tmpl w:val="4FB08F4E"/>
    <w:lvl w:ilvl="0" w:tplc="DDCA53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4282D"/>
    <w:multiLevelType w:val="hybridMultilevel"/>
    <w:tmpl w:val="189C56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AD4B80"/>
    <w:multiLevelType w:val="hybridMultilevel"/>
    <w:tmpl w:val="63DA3F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626BC"/>
    <w:multiLevelType w:val="multilevel"/>
    <w:tmpl w:val="7AE054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E724F2"/>
    <w:multiLevelType w:val="hybridMultilevel"/>
    <w:tmpl w:val="10D66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2041A"/>
    <w:multiLevelType w:val="hybridMultilevel"/>
    <w:tmpl w:val="F38CC95E"/>
    <w:lvl w:ilvl="0" w:tplc="3D5C6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F6ED3"/>
    <w:multiLevelType w:val="hybridMultilevel"/>
    <w:tmpl w:val="34040CAA"/>
    <w:lvl w:ilvl="0" w:tplc="3586B470">
      <w:start w:val="1"/>
      <w:numFmt w:val="lowerRoman"/>
      <w:lvlText w:val="%1."/>
      <w:lvlJc w:val="left"/>
      <w:pPr>
        <w:ind w:left="862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B7177D5"/>
    <w:multiLevelType w:val="hybridMultilevel"/>
    <w:tmpl w:val="4678FC8A"/>
    <w:lvl w:ilvl="0" w:tplc="CCEC16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0226F4"/>
    <w:multiLevelType w:val="hybridMultilevel"/>
    <w:tmpl w:val="5DF01D00"/>
    <w:lvl w:ilvl="0" w:tplc="F684A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06AD7"/>
    <w:multiLevelType w:val="hybridMultilevel"/>
    <w:tmpl w:val="00B46D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157DF"/>
    <w:multiLevelType w:val="multilevel"/>
    <w:tmpl w:val="831AEB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2A08FA"/>
    <w:multiLevelType w:val="hybridMultilevel"/>
    <w:tmpl w:val="B16E50BE"/>
    <w:lvl w:ilvl="0" w:tplc="1D8E42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C0B76"/>
    <w:multiLevelType w:val="hybridMultilevel"/>
    <w:tmpl w:val="1138FB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7831A9"/>
    <w:multiLevelType w:val="hybridMultilevel"/>
    <w:tmpl w:val="FBD6C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B1303"/>
    <w:multiLevelType w:val="hybridMultilevel"/>
    <w:tmpl w:val="3CDA04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35D0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3E66A5"/>
    <w:multiLevelType w:val="hybridMultilevel"/>
    <w:tmpl w:val="08669370"/>
    <w:lvl w:ilvl="0" w:tplc="3D5C6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332FA"/>
    <w:multiLevelType w:val="hybridMultilevel"/>
    <w:tmpl w:val="DE52979C"/>
    <w:lvl w:ilvl="0" w:tplc="3D5C6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21DF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1"/>
  </w:num>
  <w:num w:numId="7">
    <w:abstractNumId w:val="14"/>
  </w:num>
  <w:num w:numId="8">
    <w:abstractNumId w:val="10"/>
  </w:num>
  <w:num w:numId="9">
    <w:abstractNumId w:val="17"/>
  </w:num>
  <w:num w:numId="10">
    <w:abstractNumId w:val="25"/>
  </w:num>
  <w:num w:numId="11">
    <w:abstractNumId w:val="8"/>
  </w:num>
  <w:num w:numId="12">
    <w:abstractNumId w:val="23"/>
  </w:num>
  <w:num w:numId="13">
    <w:abstractNumId w:val="13"/>
  </w:num>
  <w:num w:numId="14">
    <w:abstractNumId w:val="29"/>
  </w:num>
  <w:num w:numId="15">
    <w:abstractNumId w:val="26"/>
  </w:num>
  <w:num w:numId="16">
    <w:abstractNumId w:val="20"/>
  </w:num>
  <w:num w:numId="17">
    <w:abstractNumId w:val="9"/>
  </w:num>
  <w:num w:numId="18">
    <w:abstractNumId w:val="24"/>
  </w:num>
  <w:num w:numId="19">
    <w:abstractNumId w:val="15"/>
  </w:num>
  <w:num w:numId="20">
    <w:abstractNumId w:val="18"/>
  </w:num>
  <w:num w:numId="21">
    <w:abstractNumId w:val="6"/>
  </w:num>
  <w:num w:numId="22">
    <w:abstractNumId w:val="19"/>
  </w:num>
  <w:num w:numId="23">
    <w:abstractNumId w:val="4"/>
  </w:num>
  <w:num w:numId="24">
    <w:abstractNumId w:val="7"/>
  </w:num>
  <w:num w:numId="25">
    <w:abstractNumId w:val="12"/>
  </w:num>
  <w:num w:numId="26">
    <w:abstractNumId w:val="22"/>
  </w:num>
  <w:num w:numId="27">
    <w:abstractNumId w:val="11"/>
  </w:num>
  <w:num w:numId="28">
    <w:abstractNumId w:val="16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72"/>
    <w:rsid w:val="00000F9F"/>
    <w:rsid w:val="000047C0"/>
    <w:rsid w:val="000173D5"/>
    <w:rsid w:val="000247E8"/>
    <w:rsid w:val="000342A3"/>
    <w:rsid w:val="00035C68"/>
    <w:rsid w:val="00036489"/>
    <w:rsid w:val="00050D61"/>
    <w:rsid w:val="00051CD7"/>
    <w:rsid w:val="000557C2"/>
    <w:rsid w:val="000667DE"/>
    <w:rsid w:val="00067F54"/>
    <w:rsid w:val="0007137E"/>
    <w:rsid w:val="00081BAD"/>
    <w:rsid w:val="00096B01"/>
    <w:rsid w:val="000C2F4C"/>
    <w:rsid w:val="000D22B8"/>
    <w:rsid w:val="000D49FB"/>
    <w:rsid w:val="000D6C5B"/>
    <w:rsid w:val="000E1986"/>
    <w:rsid w:val="000F4A1C"/>
    <w:rsid w:val="001044CD"/>
    <w:rsid w:val="00112CA6"/>
    <w:rsid w:val="00116E1D"/>
    <w:rsid w:val="00124B39"/>
    <w:rsid w:val="00130B22"/>
    <w:rsid w:val="00132E01"/>
    <w:rsid w:val="0013632C"/>
    <w:rsid w:val="00147B95"/>
    <w:rsid w:val="00162149"/>
    <w:rsid w:val="00162333"/>
    <w:rsid w:val="001661E1"/>
    <w:rsid w:val="00170804"/>
    <w:rsid w:val="0017379E"/>
    <w:rsid w:val="00186B39"/>
    <w:rsid w:val="001922D4"/>
    <w:rsid w:val="001A0CBE"/>
    <w:rsid w:val="001A10AE"/>
    <w:rsid w:val="001A3FAC"/>
    <w:rsid w:val="001A4C25"/>
    <w:rsid w:val="001A79C2"/>
    <w:rsid w:val="001C391A"/>
    <w:rsid w:val="001D788F"/>
    <w:rsid w:val="001E01EA"/>
    <w:rsid w:val="001E275F"/>
    <w:rsid w:val="001E7310"/>
    <w:rsid w:val="00203C62"/>
    <w:rsid w:val="00203DA3"/>
    <w:rsid w:val="00204889"/>
    <w:rsid w:val="00212AEF"/>
    <w:rsid w:val="00223E02"/>
    <w:rsid w:val="002259E7"/>
    <w:rsid w:val="00225CFE"/>
    <w:rsid w:val="0025379A"/>
    <w:rsid w:val="002539CC"/>
    <w:rsid w:val="002554E2"/>
    <w:rsid w:val="00255608"/>
    <w:rsid w:val="00255A0C"/>
    <w:rsid w:val="00260C99"/>
    <w:rsid w:val="00264421"/>
    <w:rsid w:val="00266825"/>
    <w:rsid w:val="00271C19"/>
    <w:rsid w:val="00284011"/>
    <w:rsid w:val="002B0951"/>
    <w:rsid w:val="002B1724"/>
    <w:rsid w:val="002C1EFF"/>
    <w:rsid w:val="002D18CD"/>
    <w:rsid w:val="002D51E0"/>
    <w:rsid w:val="002D57BE"/>
    <w:rsid w:val="002D63E0"/>
    <w:rsid w:val="002E556F"/>
    <w:rsid w:val="002E79EF"/>
    <w:rsid w:val="002E7E0E"/>
    <w:rsid w:val="002F191A"/>
    <w:rsid w:val="002F3D33"/>
    <w:rsid w:val="002F6096"/>
    <w:rsid w:val="002F728D"/>
    <w:rsid w:val="002F7773"/>
    <w:rsid w:val="00310315"/>
    <w:rsid w:val="00316374"/>
    <w:rsid w:val="00317A8B"/>
    <w:rsid w:val="00321AE6"/>
    <w:rsid w:val="00325879"/>
    <w:rsid w:val="00327EAF"/>
    <w:rsid w:val="00333CC6"/>
    <w:rsid w:val="003404BB"/>
    <w:rsid w:val="00344A55"/>
    <w:rsid w:val="00371148"/>
    <w:rsid w:val="003746FF"/>
    <w:rsid w:val="00381FA8"/>
    <w:rsid w:val="0038523C"/>
    <w:rsid w:val="00395B45"/>
    <w:rsid w:val="00396CB8"/>
    <w:rsid w:val="003A1AEA"/>
    <w:rsid w:val="003A1D3E"/>
    <w:rsid w:val="003C4B4F"/>
    <w:rsid w:val="003C7614"/>
    <w:rsid w:val="003D180F"/>
    <w:rsid w:val="003D5283"/>
    <w:rsid w:val="003E5BD7"/>
    <w:rsid w:val="003F3936"/>
    <w:rsid w:val="00422758"/>
    <w:rsid w:val="00423FAA"/>
    <w:rsid w:val="00452975"/>
    <w:rsid w:val="0046671C"/>
    <w:rsid w:val="00467538"/>
    <w:rsid w:val="00476496"/>
    <w:rsid w:val="00477D44"/>
    <w:rsid w:val="00482BD2"/>
    <w:rsid w:val="0048333A"/>
    <w:rsid w:val="004848D3"/>
    <w:rsid w:val="00486930"/>
    <w:rsid w:val="00492281"/>
    <w:rsid w:val="00496EE7"/>
    <w:rsid w:val="004A4E85"/>
    <w:rsid w:val="004A7209"/>
    <w:rsid w:val="004B30BB"/>
    <w:rsid w:val="004B74BF"/>
    <w:rsid w:val="004B7FDF"/>
    <w:rsid w:val="004C56E2"/>
    <w:rsid w:val="004C663C"/>
    <w:rsid w:val="004D3079"/>
    <w:rsid w:val="004D353B"/>
    <w:rsid w:val="004E01D8"/>
    <w:rsid w:val="005004C5"/>
    <w:rsid w:val="00505C0D"/>
    <w:rsid w:val="0050645C"/>
    <w:rsid w:val="00506C97"/>
    <w:rsid w:val="00513338"/>
    <w:rsid w:val="00533813"/>
    <w:rsid w:val="005370FB"/>
    <w:rsid w:val="00541239"/>
    <w:rsid w:val="005445B4"/>
    <w:rsid w:val="00550E22"/>
    <w:rsid w:val="00550F54"/>
    <w:rsid w:val="00562FBB"/>
    <w:rsid w:val="00563BF1"/>
    <w:rsid w:val="005662CF"/>
    <w:rsid w:val="00581D3E"/>
    <w:rsid w:val="00581E25"/>
    <w:rsid w:val="00583EB4"/>
    <w:rsid w:val="00587704"/>
    <w:rsid w:val="00597A0D"/>
    <w:rsid w:val="005A273F"/>
    <w:rsid w:val="005A2B4A"/>
    <w:rsid w:val="005A63C5"/>
    <w:rsid w:val="005A6934"/>
    <w:rsid w:val="005A6CC7"/>
    <w:rsid w:val="005B2FEA"/>
    <w:rsid w:val="005B4D6C"/>
    <w:rsid w:val="005C622D"/>
    <w:rsid w:val="005E681D"/>
    <w:rsid w:val="005E7C41"/>
    <w:rsid w:val="005F4DB1"/>
    <w:rsid w:val="00600BFC"/>
    <w:rsid w:val="00612CD1"/>
    <w:rsid w:val="00613964"/>
    <w:rsid w:val="00615E2D"/>
    <w:rsid w:val="00616B75"/>
    <w:rsid w:val="00622FD6"/>
    <w:rsid w:val="00625D6D"/>
    <w:rsid w:val="006327CB"/>
    <w:rsid w:val="006418A0"/>
    <w:rsid w:val="006511EC"/>
    <w:rsid w:val="00661B55"/>
    <w:rsid w:val="00682739"/>
    <w:rsid w:val="00695DD3"/>
    <w:rsid w:val="006A058B"/>
    <w:rsid w:val="006A6B51"/>
    <w:rsid w:val="006A75AA"/>
    <w:rsid w:val="006B1B6A"/>
    <w:rsid w:val="006B672F"/>
    <w:rsid w:val="006C6907"/>
    <w:rsid w:val="006E4D55"/>
    <w:rsid w:val="006F0A0E"/>
    <w:rsid w:val="0071600C"/>
    <w:rsid w:val="00723008"/>
    <w:rsid w:val="007234FF"/>
    <w:rsid w:val="00740F85"/>
    <w:rsid w:val="00746B3A"/>
    <w:rsid w:val="00750AB2"/>
    <w:rsid w:val="00761CE4"/>
    <w:rsid w:val="00780444"/>
    <w:rsid w:val="0079068F"/>
    <w:rsid w:val="007A28B9"/>
    <w:rsid w:val="007A2997"/>
    <w:rsid w:val="007B266D"/>
    <w:rsid w:val="007C4E62"/>
    <w:rsid w:val="007C630C"/>
    <w:rsid w:val="007D56EA"/>
    <w:rsid w:val="007F3F4B"/>
    <w:rsid w:val="007F727A"/>
    <w:rsid w:val="008136B7"/>
    <w:rsid w:val="008151A0"/>
    <w:rsid w:val="00860955"/>
    <w:rsid w:val="008613B2"/>
    <w:rsid w:val="00861D9D"/>
    <w:rsid w:val="00864975"/>
    <w:rsid w:val="008728D9"/>
    <w:rsid w:val="00875C24"/>
    <w:rsid w:val="008969E9"/>
    <w:rsid w:val="008A2B52"/>
    <w:rsid w:val="008A3E58"/>
    <w:rsid w:val="008A7CFE"/>
    <w:rsid w:val="008B34E3"/>
    <w:rsid w:val="008B7AB6"/>
    <w:rsid w:val="008D1C6B"/>
    <w:rsid w:val="008D4752"/>
    <w:rsid w:val="008E3D4B"/>
    <w:rsid w:val="008E5BF2"/>
    <w:rsid w:val="008F0B0D"/>
    <w:rsid w:val="008F25CB"/>
    <w:rsid w:val="008F55B0"/>
    <w:rsid w:val="008F7EB2"/>
    <w:rsid w:val="00903F58"/>
    <w:rsid w:val="00905727"/>
    <w:rsid w:val="0090669D"/>
    <w:rsid w:val="0090764F"/>
    <w:rsid w:val="00914129"/>
    <w:rsid w:val="00921FCA"/>
    <w:rsid w:val="00926222"/>
    <w:rsid w:val="00941E01"/>
    <w:rsid w:val="00946768"/>
    <w:rsid w:val="00952CF7"/>
    <w:rsid w:val="009548C1"/>
    <w:rsid w:val="00980335"/>
    <w:rsid w:val="00985913"/>
    <w:rsid w:val="009930B1"/>
    <w:rsid w:val="009A3CDB"/>
    <w:rsid w:val="009C61AC"/>
    <w:rsid w:val="009D32D2"/>
    <w:rsid w:val="009D36D0"/>
    <w:rsid w:val="009D733B"/>
    <w:rsid w:val="009E3B6E"/>
    <w:rsid w:val="009F79B6"/>
    <w:rsid w:val="00A053FF"/>
    <w:rsid w:val="00A108CC"/>
    <w:rsid w:val="00A13EFA"/>
    <w:rsid w:val="00A2683E"/>
    <w:rsid w:val="00A311D0"/>
    <w:rsid w:val="00A333E2"/>
    <w:rsid w:val="00A3476F"/>
    <w:rsid w:val="00A65BDF"/>
    <w:rsid w:val="00A66596"/>
    <w:rsid w:val="00A7676C"/>
    <w:rsid w:val="00A83DFF"/>
    <w:rsid w:val="00A915F8"/>
    <w:rsid w:val="00AB2ECA"/>
    <w:rsid w:val="00AB32AD"/>
    <w:rsid w:val="00AC4938"/>
    <w:rsid w:val="00AC5199"/>
    <w:rsid w:val="00AD0E95"/>
    <w:rsid w:val="00AD2D52"/>
    <w:rsid w:val="00AE04D3"/>
    <w:rsid w:val="00AE2401"/>
    <w:rsid w:val="00AF51F8"/>
    <w:rsid w:val="00B05912"/>
    <w:rsid w:val="00B17296"/>
    <w:rsid w:val="00B2146E"/>
    <w:rsid w:val="00B31463"/>
    <w:rsid w:val="00B3293E"/>
    <w:rsid w:val="00B41041"/>
    <w:rsid w:val="00B51F71"/>
    <w:rsid w:val="00B53A5D"/>
    <w:rsid w:val="00B57E05"/>
    <w:rsid w:val="00B730A8"/>
    <w:rsid w:val="00B81E31"/>
    <w:rsid w:val="00B9384D"/>
    <w:rsid w:val="00B95214"/>
    <w:rsid w:val="00BA550C"/>
    <w:rsid w:val="00BC5D05"/>
    <w:rsid w:val="00BD4C5C"/>
    <w:rsid w:val="00BE2536"/>
    <w:rsid w:val="00BF25EF"/>
    <w:rsid w:val="00BF569E"/>
    <w:rsid w:val="00C046F3"/>
    <w:rsid w:val="00C161BB"/>
    <w:rsid w:val="00C22356"/>
    <w:rsid w:val="00C2627A"/>
    <w:rsid w:val="00C26B51"/>
    <w:rsid w:val="00C27E51"/>
    <w:rsid w:val="00C30975"/>
    <w:rsid w:val="00C412B3"/>
    <w:rsid w:val="00C47772"/>
    <w:rsid w:val="00C5396E"/>
    <w:rsid w:val="00C639F4"/>
    <w:rsid w:val="00C6424A"/>
    <w:rsid w:val="00C64E20"/>
    <w:rsid w:val="00C74696"/>
    <w:rsid w:val="00C83E44"/>
    <w:rsid w:val="00C84D90"/>
    <w:rsid w:val="00C86953"/>
    <w:rsid w:val="00C933C5"/>
    <w:rsid w:val="00C95F0B"/>
    <w:rsid w:val="00CB2953"/>
    <w:rsid w:val="00CB4388"/>
    <w:rsid w:val="00CB5078"/>
    <w:rsid w:val="00CB5564"/>
    <w:rsid w:val="00CB6D91"/>
    <w:rsid w:val="00CB77F0"/>
    <w:rsid w:val="00CE08EA"/>
    <w:rsid w:val="00CF6412"/>
    <w:rsid w:val="00CF70F5"/>
    <w:rsid w:val="00CF7C26"/>
    <w:rsid w:val="00D209F8"/>
    <w:rsid w:val="00D25E40"/>
    <w:rsid w:val="00D27670"/>
    <w:rsid w:val="00D345E4"/>
    <w:rsid w:val="00D364E9"/>
    <w:rsid w:val="00D3722B"/>
    <w:rsid w:val="00D41BE0"/>
    <w:rsid w:val="00D51227"/>
    <w:rsid w:val="00D51622"/>
    <w:rsid w:val="00D61715"/>
    <w:rsid w:val="00D6317D"/>
    <w:rsid w:val="00D67C2E"/>
    <w:rsid w:val="00D67D88"/>
    <w:rsid w:val="00D73433"/>
    <w:rsid w:val="00D94A89"/>
    <w:rsid w:val="00DA6933"/>
    <w:rsid w:val="00DA7317"/>
    <w:rsid w:val="00DB736E"/>
    <w:rsid w:val="00DE0DD5"/>
    <w:rsid w:val="00DE35B4"/>
    <w:rsid w:val="00DE543A"/>
    <w:rsid w:val="00E10320"/>
    <w:rsid w:val="00E12A71"/>
    <w:rsid w:val="00E14C3E"/>
    <w:rsid w:val="00E27B5E"/>
    <w:rsid w:val="00E55884"/>
    <w:rsid w:val="00E84E29"/>
    <w:rsid w:val="00E934BE"/>
    <w:rsid w:val="00EA00A0"/>
    <w:rsid w:val="00EB0374"/>
    <w:rsid w:val="00EB0B11"/>
    <w:rsid w:val="00EB163C"/>
    <w:rsid w:val="00EB20B0"/>
    <w:rsid w:val="00EC5F67"/>
    <w:rsid w:val="00ED6756"/>
    <w:rsid w:val="00EE5C60"/>
    <w:rsid w:val="00EF30F1"/>
    <w:rsid w:val="00EF7FEF"/>
    <w:rsid w:val="00F00B18"/>
    <w:rsid w:val="00F119C7"/>
    <w:rsid w:val="00F11D80"/>
    <w:rsid w:val="00F16CF2"/>
    <w:rsid w:val="00F231FF"/>
    <w:rsid w:val="00F3379F"/>
    <w:rsid w:val="00F3649B"/>
    <w:rsid w:val="00F448B6"/>
    <w:rsid w:val="00F45579"/>
    <w:rsid w:val="00F47FCC"/>
    <w:rsid w:val="00F50A59"/>
    <w:rsid w:val="00F5522D"/>
    <w:rsid w:val="00F62736"/>
    <w:rsid w:val="00F77F4E"/>
    <w:rsid w:val="00F81D3F"/>
    <w:rsid w:val="00F86C33"/>
    <w:rsid w:val="00F93357"/>
    <w:rsid w:val="00FA45AC"/>
    <w:rsid w:val="00FB3CB7"/>
    <w:rsid w:val="00FB73DB"/>
    <w:rsid w:val="00FC68D5"/>
    <w:rsid w:val="00FE70B2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BE515A"/>
  <w15:docId w15:val="{CF5C3309-684D-4679-A0B8-BB12065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08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Cs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Verdana" w:hAnsi="Verdana" w:cs="Verdana" w:hint="default"/>
      <w:b/>
      <w:sz w:val="20"/>
      <w:szCs w:val="20"/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sz w:val="20"/>
      <w:szCs w:val="20"/>
      <w:lang w:val="el-GR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cs="Times New Roman" w:hint="default"/>
      <w:sz w:val="22"/>
      <w:szCs w:val="22"/>
    </w:rPr>
  </w:style>
  <w:style w:type="character" w:customStyle="1" w:styleId="WW8Num14z1">
    <w:name w:val="WW8Num14z1"/>
    <w:rPr>
      <w:rFonts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rPr>
      <w:b/>
      <w:bCs/>
      <w:i/>
      <w:iCs/>
      <w:sz w:val="24"/>
      <w:lang w:val="en-US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character" w:customStyle="1" w:styleId="a">
    <w:name w:val="Σύμβολο υποσημείωσης"/>
    <w:rPr>
      <w:vertAlign w:val="superscript"/>
    </w:rPr>
  </w:style>
  <w:style w:type="character" w:customStyle="1" w:styleId="FootnoteTextChar">
    <w:name w:val="Footnote Text Char"/>
    <w:rPr>
      <w:lang w:val="en-GB"/>
    </w:rPr>
  </w:style>
  <w:style w:type="paragraph" w:customStyle="1" w:styleId="a0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1">
    <w:name w:val="Λεζάντα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Ευρετήριο"/>
    <w:basedOn w:val="Normal"/>
    <w:pPr>
      <w:suppressLineNumbers/>
    </w:pPr>
    <w:rPr>
      <w:rFonts w:cs="Arial"/>
    </w:rPr>
  </w:style>
  <w:style w:type="paragraph" w:customStyle="1" w:styleId="CharChar1CharCharCharCharCharCharCharCharCharCharChar">
    <w:name w:val="Char Char1 Char Char Char Char Char 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rPr>
      <w:lang w:val="el-GR"/>
    </w:rPr>
  </w:style>
  <w:style w:type="paragraph" w:styleId="Header">
    <w:name w:val="header"/>
    <w:basedOn w:val="Normal"/>
    <w:link w:val="HeaderChar"/>
    <w:uiPriority w:val="99"/>
  </w:style>
  <w:style w:type="paragraph" w:customStyle="1" w:styleId="default">
    <w:name w:val="default"/>
    <w:basedOn w:val="Normal"/>
    <w:pPr>
      <w:spacing w:before="280" w:after="280"/>
    </w:pPr>
    <w:rPr>
      <w:rFonts w:ascii="Verdana" w:hAnsi="Verdana" w:cs="Verdana"/>
      <w:color w:val="000000"/>
      <w:sz w:val="15"/>
      <w:szCs w:val="15"/>
      <w:lang w:val="el-GR"/>
    </w:rPr>
  </w:style>
  <w:style w:type="paragraph" w:customStyle="1" w:styleId="BodyText21">
    <w:name w:val="Body Text 21"/>
    <w:basedOn w:val="Normal"/>
    <w:pPr>
      <w:spacing w:after="120" w:line="480" w:lineRule="auto"/>
    </w:pPr>
    <w:rPr>
      <w:lang w:val="x-none"/>
    </w:rPr>
  </w:style>
  <w:style w:type="paragraph" w:customStyle="1" w:styleId="HTMLPreformatted1">
    <w:name w:val="HTML Preformatted1"/>
    <w:basedOn w:val="Normal"/>
    <w:rPr>
      <w:rFonts w:ascii="Courier New" w:hAnsi="Courier New" w:cs="Courier New"/>
      <w:sz w:val="20"/>
      <w:szCs w:val="20"/>
      <w:lang w:val="x-none"/>
    </w:rPr>
  </w:style>
  <w:style w:type="paragraph" w:customStyle="1" w:styleId="ListNumber1">
    <w:name w:val="List Number1"/>
    <w:basedOn w:val="Normal"/>
    <w:pPr>
      <w:spacing w:before="60" w:after="60"/>
      <w:jc w:val="both"/>
    </w:pPr>
    <w:rPr>
      <w:sz w:val="22"/>
      <w:szCs w:val="22"/>
      <w:lang w:val="el-GR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381FA8"/>
    <w:rPr>
      <w:sz w:val="24"/>
      <w:szCs w:val="24"/>
      <w:lang w:val="en-GB" w:eastAsia="ar-SA" w:bidi="ar-SA"/>
    </w:rPr>
  </w:style>
  <w:style w:type="character" w:customStyle="1" w:styleId="UnresolvedMention1">
    <w:name w:val="Unresolved Mention1"/>
    <w:uiPriority w:val="99"/>
    <w:semiHidden/>
    <w:unhideWhenUsed/>
    <w:rsid w:val="009467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5DD3"/>
    <w:rPr>
      <w:sz w:val="24"/>
      <w:szCs w:val="24"/>
      <w:lang w:val="en-GB" w:eastAsia="ar-SA"/>
    </w:rPr>
  </w:style>
  <w:style w:type="paragraph" w:customStyle="1" w:styleId="TableParagraph">
    <w:name w:val="Table Paragraph"/>
    <w:basedOn w:val="Normal"/>
    <w:uiPriority w:val="1"/>
    <w:qFormat/>
    <w:rsid w:val="00C161B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n-US"/>
    </w:rPr>
  </w:style>
  <w:style w:type="paragraph" w:styleId="ListParagraph">
    <w:name w:val="List Paragraph"/>
    <w:basedOn w:val="Normal"/>
    <w:uiPriority w:val="34"/>
    <w:qFormat/>
    <w:rsid w:val="00A915F8"/>
    <w:pPr>
      <w:ind w:left="72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2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77D4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51C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6D"/>
    <w:rPr>
      <w:rFonts w:ascii="Segoe UI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96CB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396CB8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96CB8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96CB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96CB8"/>
    <w:rPr>
      <w:b/>
      <w:bCs/>
      <w:lang w:val="en-GB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8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9CD0-61A0-4708-AB93-562DF63E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 :</vt:lpstr>
      <vt:lpstr>Προς :</vt:lpstr>
    </vt:vector>
  </TitlesOfParts>
  <Company/>
  <LinksUpToDate>false</LinksUpToDate>
  <CharactersWithSpaces>5123</CharactersWithSpaces>
  <SharedDoc>false</SharedDoc>
  <HLinks>
    <vt:vector size="12" baseType="variant">
      <vt:variant>
        <vt:i4>3473438</vt:i4>
      </vt:variant>
      <vt:variant>
        <vt:i4>3</vt:i4>
      </vt:variant>
      <vt:variant>
        <vt:i4>0</vt:i4>
      </vt:variant>
      <vt:variant>
        <vt:i4>5</vt:i4>
      </vt:variant>
      <vt:variant>
        <vt:lpwstr>mailto:etzanakaki@cres.gr</vt:lpwstr>
      </vt:variant>
      <vt:variant>
        <vt:lpwstr/>
      </vt:variant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mailto:etzanakaki@cres.gr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:</dc:title>
  <dc:creator>Λάμπρος Πυργιώτης</dc:creator>
  <cp:lastModifiedBy>Giorgos Antoniadis</cp:lastModifiedBy>
  <cp:revision>2</cp:revision>
  <cp:lastPrinted>2023-10-25T11:56:00Z</cp:lastPrinted>
  <dcterms:created xsi:type="dcterms:W3CDTF">2024-05-01T08:59:00Z</dcterms:created>
  <dcterms:modified xsi:type="dcterms:W3CDTF">2024-05-01T08:59:00Z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30f3c8a25b2367d2e1e9263d39e014d6eb225bcdf685856aebf4eea87a1c0681</vt:lpwstr>
  </property>
</Properties>
</file>